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r>
        <w:t>LLM</w:t>
      </w:r>
      <w:r>
        <w:rPr>
          <w:b/>
          <w:color w:val="DC143C"/>
          <w:highlight w:val="yellow"/>
        </w:rPr>
        <w:t xml:space="preserve"> 🎓[REVIEW: LLM (Large Language Model) - Abkürzungen im Abkürzungsverzeichnis sollten bei der ersten Erwähnung ausgeschrieben werden.]</w:t>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pPr>
        <w:pStyle w:val="berschrift2"/>
      </w:pPr>
      <w:r>
        <w:t>Relevanz von KI und standardisierten Planungsdaten im Holzbau später</w:t>
      </w:r>
      <w:r>
        <w:rPr>
          <w:b/>
          <w:color w:val="DC143C"/>
          <w:highlight w:val="yellow"/>
        </w:rPr>
        <w:t xml:space="preserve"> ✨[REVIEW: Relevanz von KI und standardisierten Planungsdaten im Holzbau - „Später“ ist überflüssig und unpräzise.]</w:t>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r w:rsidRPr="00296EDB">
        <w:t xml:space="preserve">Für ein einheitliches Verständnis der nachfolgenden </w:t>
      </w:r>
      <w:r w:rsidR="00245F11">
        <w:t>Arbeit</w:t>
      </w:r>
      <w:r w:rsidRPr="00296EDB">
        <w:t xml:space="preserve"> ist es notwendig</w:t>
      </w:r>
      <w:r>
        <w:t xml:space="preserve"> die </w:t>
      </w:r>
      <w:r w:rsidRPr="00296EDB">
        <w:t>zentrale</w:t>
      </w:r>
      <w:r>
        <w:t>n</w:t>
      </w:r>
      <w:r w:rsidRPr="00296EDB">
        <w:t xml:space="preserve"> Begriffe </w:t>
      </w:r>
      <w:r w:rsidR="00245F11">
        <w:t>„</w:t>
      </w:r>
      <w:r w:rsidR="00245F11" w:rsidRPr="00296EDB">
        <w:t>Large Language Model (LLM)</w:t>
      </w:r>
      <w:r w:rsidR="00245F11">
        <w:t>“,</w:t>
      </w:r>
      <w:r w:rsidR="00245F11" w:rsidRPr="00296EDB">
        <w:t xml:space="preserve"> </w:t>
      </w:r>
      <w:r w:rsidRPr="00296EDB">
        <w:t>„Standardisierung</w:t>
      </w:r>
      <w:r>
        <w:t>“</w:t>
      </w:r>
      <w:r w:rsidRPr="00296EDB">
        <w:t xml:space="preserve">, </w:t>
      </w:r>
      <w:r>
        <w:t>„</w:t>
      </w:r>
      <w:r w:rsidRPr="00296EDB">
        <w:t>semantische Interpretation</w:t>
      </w:r>
      <w:r>
        <w:t>“</w:t>
      </w:r>
      <w:r w:rsidRPr="00296EDB">
        <w:t xml:space="preserve"> und</w:t>
      </w:r>
      <w:r w:rsidR="00245F11">
        <w:t xml:space="preserve"> „</w:t>
      </w:r>
      <w:r w:rsidR="00245F11" w:rsidRPr="00245F11">
        <w:t>IFC</w:t>
      </w:r>
      <w:r w:rsidR="004F0C1F">
        <w:t>-basierte Planungsdaten</w:t>
      </w:r>
      <w:r w:rsidR="00245F11">
        <w:t>“</w:t>
      </w:r>
      <w:r w:rsidRPr="00296EDB">
        <w:t xml:space="preserve"> klar zu definieren.</w:t>
      </w:r>
    </w:p>
    <w:p w14:paraId="5527BAB9" w14:textId="108A1B5D" w:rsidR="00245F11" w:rsidRPr="00245F11" w:rsidRDefault="00245F11" w:rsidP="00245F11">
      <w:r w:rsidRPr="00245F11">
        <w: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w:t>
      </w:r>
      <w:r w:rsidR="004F0C1F">
        <w:t>aktuelle</w:t>
      </w:r>
      <w:r w:rsidRPr="00245F11">
        <w:t xml:space="preserve"> LLMs ist ihre Architektur: Sie greifen auf sogenannte Transformer-Modelle zurück, die besonders leistungsfähig darin sind, kontextbezogene Informationen über längere Textabschnitte hinweg zu verarbeiten.</w:t>
      </w:r>
      <w:r w:rsidR="004F0C1F">
        <w:t xml:space="preserve"> (Quelle Ertel </w:t>
      </w:r>
      <w:proofErr w:type="gramStart"/>
      <w:r w:rsidR="004F0C1F">
        <w:t>Grundkurs  S.</w:t>
      </w:r>
      <w:proofErr w:type="gramEnd"/>
      <w:r w:rsidR="004F0C1F">
        <w:t xml:space="preserve"> 110)</w:t>
      </w:r>
      <w:r w:rsidRPr="00245F11">
        <w: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w:t>
      </w:r>
      <w:r w:rsidR="004F0C1F">
        <w:t>- bzw. text</w:t>
      </w:r>
      <w:r w:rsidRPr="00245F11">
        <w:t>basierte Anwendungsfälle übertragen.</w:t>
      </w:r>
    </w:p>
    <w:p w14:paraId="612D7C2F" w14:textId="322CF774" w:rsidR="001517F4" w:rsidRDefault="00296EDB" w:rsidP="00B632CB">
      <w:r>
        <w:t>Standardisierung bezeichnet die Vereinheitlichung von Informationen, Prozessen und Begriffen mit dem Ziel, eine konsistente Kommunikation zwischen den Beteiligten sicherzustellen. Es sollen bereits bekanntes Wissen und Erfahrung wiederverwendet werden. In der Bauwirtschaft ist Standardisierung insbesondere im Kontext digitaler Planungsprozesse essenziell, um eine verlässliche, maschinenlesbare Datenbasis zu schaffen. Sie bildet die Grundlage für effiziente Zusammenarbeit, klare Zuständigkeiten und legt eine Qualität der Ergebnisse fest. (Quelle Iso 19650 S. 7)</w:t>
      </w:r>
      <w:r>
        <w:rPr>
          <w:b/>
          <w:color w:val="DC143C"/>
          <w:highlight w:val="yellow"/>
        </w:rPr>
        <w:t xml:space="preserve"> ✨[REVIEW: Sie bildet die Grundlage für effiziente Zusammenarbeit, klare Zuständigkeiten und definiert die Ergebnisqualität. - Präzisere Formulierung.]</w:t>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r>
        <w: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w:t>
      </w:r>
      <w:r>
        <w:rPr>
          <w:b/>
          <w:color w:val="DC143C"/>
          <w:highlight w:val="yellow"/>
        </w:rPr>
        <w:t xml:space="preserve"> ✨[REVIEW: In den Bereichen Simulation und Visualisierung (82 % Potenzial, 32 % Fähigkeiten) und BIM (64 %, 25 %) zeigt sich eine erhebliche Diskrepanz. - Präzisere Formulierung, Vermeidung von Wiederholungen.]</w:t>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r>
        <w:t>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bis nicht nutzbar ist.(Quelle eventuell?)</w:t>
      </w:r>
      <w:r>
        <w:rPr>
          <w:b/>
          <w:color w:val="DC143C"/>
          <w:highlight w:val="yellow"/>
        </w:rPr>
        <w:t xml:space="preserve"> ✨[REVIEW: Trotz zunehmender Verfügbarkeit digitaler Gebäudemodelle findet deren direkte Anwendung auf der Baustelle und in der Bauleitung bislang kaum statt. - Kompaktere und prägnantere Formulierung.]</w:t>
      </w:r>
    </w:p>
    <w:p w14:paraId="39C01905" w14:textId="77777777" w:rsidR="001D1036" w:rsidRDefault="001D1036" w:rsidP="001D1036"/>
    <w:p w14:paraId="46D88066" w14:textId="4693B63B" w:rsidR="001D1036" w:rsidRDefault="001D1036" w:rsidP="001D1036">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r>
        <w:t>Die Modellierung und der anschließende Export ins IFC-Format erfolgten gemäß den Empfehlungen des BIM Holzbau Manuals von cadwork. Die resultierende IFC-Datei wurde in der Software BIMvision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r>
        <w:rPr>
          <w:b/>
          <w:color w:val="DC143C"/>
          <w:highlight w:val="yellow"/>
        </w:rPr>
        <w:t xml:space="preserve"> ✨[REVIEW: Das Tool ermöglicht eine detaillierte Analyse der Objektattribute und eignet sich daher für die Untersuchung des Wandstiels (IfcMember). - Präzisere Formulierung, Vermeidung von „detaillierte Einsicht“]</w:t>
      </w:r>
    </w:p>
    <w:p w14:paraId="06F99116" w14:textId="77777777" w:rsidR="006B6D97" w:rsidRDefault="006B6D97" w:rsidP="006B6D97"/>
    <w:p w14:paraId="2F3FA62D" w14:textId="77777777" w:rsidR="006B6D97" w:rsidRDefault="006B6D97" w:rsidP="006B6D97">
      <w:pPr>
        <w:pStyle w:val="berschrift3"/>
      </w:pPr>
      <w:r>
        <w:t>Wandstiel (</w:t>
      </w:r>
      <w:proofErr w:type="spellStart"/>
      <w:r>
        <w:t>IfcMember</w:t>
      </w:r>
      <w:proofErr w:type="spellEnd"/>
      <w:r>
        <w:t>)</w:t>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r>
        <w:t>Am Beispiel des Wandstiels zeigt der IFC-Export eine strukturierte Abbildung der Objektinformationen auf mehreren Ebenen (Abbildung 10). Das Bauteil ist als IfcMember mit dem PredefinedType „STUD“ klassifiziert und in die hierarchische Struktur des Projekts eingebettet (Projekt → Gebäude → Geschoss → Bauteilgruppe „Stäbe“). Im Bereich der Mengeneigenschaften (BaseQuantities)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Bounding Box in Länge, Breite und Höhe. In der Kategorie „Geometry“ ist zudem vermerkt, dass das Bauteil über eine eigene Geometrie verfügt und keine untergeordneten Elemente besitzt.</w:t>
      </w:r>
      <w:r>
        <w:rPr>
          <w:b/>
          <w:color w:val="DC143C"/>
          <w:highlight w:val="yellow"/>
        </w:rPr>
        <w:t xml:space="preserve"> ✨[REVIEW: Die Mengeneigenschaften (BaseQuantities) umfassen Brutto- und Nettovolumen (m³), Brutto- und Nettogewicht (kg), Querschnittsfläche (m²), Länge (m) sowie Netto- und Außenoberfläche (m²). - Kompaktere Formulierung, Einheiten direkt in Klammern]</w:t>
      </w:r>
    </w:p>
    <w:p w14:paraId="2FEDB9AC" w14:textId="77777777" w:rsidR="006B6D97" w:rsidRDefault="006B6D97" w:rsidP="006B6D97">
      <w:r>
        <w:t>Das zugewiesene Material ist Konstruktionsvollholz KVH C24 NSi. Darüber hinaus finden sich mehrere herstellerspezifische Angaben aus cadwork: Eine Produktnummer (Prod_Nb), die Layerzuweisung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r>
        <w:rPr>
          <w:b/>
          <w:color w:val="DC143C"/>
          <w:highlight w:val="yellow"/>
        </w:rPr>
        <w:t xml:space="preserve"> ✨[REVIEW: Die funktionale Rolle des Stiels im Wandaufbau ist nicht explizit gekennzeichnet, sondern lediglich indirekt über Typisierung, Schichtzuweisung und Subgruppenbezeichnung erschließbar. - Verbesserung der Satzstruktur und Präzision]</w:t>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r>
        <w:t>Für die Auswertung solcher Informationen ist die Nutzung eines IFC-Viewers erforderlich. Zwar liegt die IFC-Datei im textbasierten STEP-Format (basierend auf EXPRESS) vor, jedoch ist eine manuelle Analys</w:t>
      </w:r>
      <w:r w:rsidR="004F4A99">
        <w:t>e</w:t>
      </w:r>
      <w:r>
        <w:t xml:space="preserve"> des Codes </w:t>
      </w:r>
      <w:r w:rsidR="004F4A99">
        <w:t>nur bedingt</w:t>
      </w:r>
      <w:r>
        <w:t xml:space="preserve"> möglich</w:t>
      </w:r>
      <w:r w:rsidR="004F4A99">
        <w:t>, wie in</w:t>
      </w:r>
      <w:r w:rsidR="009C540B">
        <w:t xml:space="preserve"> </w:t>
      </w:r>
      <w:r w:rsidR="009C540B">
        <w:fldChar w:fldCharType="begin"/>
      </w:r>
      <w:r w:rsidR="009C540B">
        <w:instrText xml:space="preserve"> REF _Ref202959659 \n \h </w:instrText>
      </w:r>
      <w:r w:rsidR="009C540B">
        <w:fldChar w:fldCharType="separate"/>
      </w:r>
      <w:r w:rsidR="007E19F3">
        <w:t>1.3.1</w:t>
      </w:r>
      <w:r w:rsidR="009C540B">
        <w:fldChar w:fldCharType="end"/>
      </w:r>
      <w:r w:rsidR="009C540B">
        <w:t xml:space="preserve"> bereits</w:t>
      </w:r>
      <w:r w:rsidR="00E76112">
        <w:t xml:space="preserve"> drauf eingegangen wurde</w:t>
      </w:r>
      <w:r>
        <w:t xml:space="preserve">. Erst durch </w:t>
      </w:r>
      <w:r w:rsidR="00E76112">
        <w:t>IFC-Viewer</w:t>
      </w:r>
      <w:r>
        <w:t xml:space="preserve"> wie </w:t>
      </w:r>
      <w:proofErr w:type="spellStart"/>
      <w:r>
        <w:t>BIMvision</w:t>
      </w:r>
      <w:proofErr w:type="spellEnd"/>
      <w:r>
        <w:t xml:space="preserve"> werden die hinterlegten Attribute in ihrer hierarchischen und typisierten Form </w:t>
      </w:r>
      <w:r w:rsidR="00E76112">
        <w:t>gruppiert geordnet</w:t>
      </w:r>
      <w:r>
        <w:t>.</w:t>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pPr>
        <w:rPr>
          <w:lang w:eastAsia="de-DE"/>
        </w:rPr>
      </w:pPr>
      <w:r>
        <w: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 ✨[REVIEW: Alternativ zur Festigkeitsklasse - Präziserer und wissenschaftlicher Ausdruck.]</w:t>
      </w:r>
      <w:r>
        <w:rPr>
          <w:b/>
          <w:color w:val="DC143C"/>
          <w:highlight w:val="yellow"/>
        </w:rPr>
        <w:t xml:space="preserve"> ✨[REVIEW: was für die bauphysikalische Bewertung (Brandschutz und Wärmeschutz) relevant ist - Verbesserte Satzstruktur und Präzision durch 'und' statt Klammern.]</w:t>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pPr>
        <w:pStyle w:val="Beschriftung"/>
      </w:pPr>
      <w:r>
        <w:t xml:space="preserve">Abbildung 13 Anzahl bedeutender KI-Modelle nach ausgewählten geografischen Regionen 2024, Quelle: </w:t>
      </w:r>
      <w:r>
        <w:rPr>
          <w:b/>
          <w:color w:val="DC143C"/>
          <w:highlight w:val="yellow"/>
        </w:rPr>
        <w:t xml:space="preserve"> 💡[REVIEW: Abbildung 13: Geografische Verteilung bedeutender KI-Modelle (2024). Quelle: - Verbesserte Formatierung und Klarheit der Abbildungsbeschreibung.]</w:t>
      </w:r>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r>
        <w:t>Abbildung 16 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w:t>
      </w:r>
      <w:r>
        <w:rPr>
          <w:b/>
          <w:color w:val="DC143C"/>
          <w:highlight w:val="yellow"/>
        </w:rPr>
        <w:t xml:space="preserve"> ✨[REVIEW: Praktisch bedeutet dies: - Prägnanter und weniger formell.]</w:t>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w:t>
      </w:r>
      <w:r>
        <w:fldChar w:fldCharType="begin"/>
      </w:r>
      <w:r>
        <w:instrText xml:space="preserve"> SEQ Abbildung \* ARABIC </w:instrText>
      </w:r>
      <w:r>
        <w:fldChar w:fldCharType="separate"/>
      </w:r>
      <w:r w:rsidR="00DC0381">
        <w:rPr>
          <w:noProof/>
        </w:rPr>
        <w:t>17</w:t>
      </w:r>
      <w:r>
        <w:fldChar w:fldCharType="end"/>
      </w:r>
      <w:r>
        <w:t xml:space="preserve"> </w:t>
      </w:r>
      <w:r w:rsidRPr="00B2421C">
        <w:t>Ranking von LLMs nach Leistung im Verstehen und Erzeugen von Texten, Quelle:</w:t>
      </w:r>
      <w:r>
        <w:t xml:space="preserve"> </w:t>
      </w:r>
      <w:sdt>
        <w:sdtPr>
          <w:alias w:val="To edit, see citavi.com/edit"/>
          <w:tag w:val="CitaviPlaceholder#9db7b24c-2806-4af2-a2aa-ae957f31108c"/>
          <w:id w:val="57316252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w:instrText>
          </w:r>
          <w:r>
            <w:fldChar w:fldCharType="separate"/>
          </w:r>
          <w:r w:rsidR="00B05C95">
            <w:t>(lmarena.ai 2025)</w:t>
          </w:r>
          <w:r>
            <w:fldChar w:fldCharType="end"/>
          </w:r>
        </w:sdtContent>
      </w:sdt>
    </w:p>
    <w:p w14:paraId="0422CC93" w14:textId="522C5800" w:rsidR="00971311" w:rsidRPr="00305F45" w:rsidRDefault="00A9798E" w:rsidP="00305F45">
      <w:r>
        <w:t>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ist  die Analyse von Grundrissplänen, Baustellendokumentationen oder technischen Zeichnungen eine Anwendung.</w:t>
      </w:r>
      <w:r>
        <w:rPr>
          <w:b/>
          <w:color w:val="DC143C"/>
          <w:highlight w:val="yellow"/>
        </w:rPr>
        <w:t xml:space="preserve"> 💡[REVIEW: Abbildung 17 zeigt das Vision-Arena-Ranking (Stand: 7. [Monat, Jahr]). - Unvollständige Datumsangabe präzisieren.]</w:t>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r>
        <w:t>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Revit- und Archicad-Dateien für die Architektur, Tekla-Modelle für die Tragwerksplanung sowie Revit-Dateien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Huvila Oy geplant wurde, Gravicon für die Tragwerksplanung verantwortlich war und die TGA durch das Ingenieurbüro Granlund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IfcElementAssembly-Objekten sind Typenbezeichnungen mittels Platzhaltern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br/>
        <w:t xml:space="preserve"> ✨[REVIEW: Das Tragwerksmodell enthielt die Holzkonstruktionen, jedoch ohne vollständige technische Ausarbeitung, statische Bemessung und Detaillierung von konstruktiven Lösungen sowie Fenster- und Türöffnungen. - Verbesserter Satzbau, präzisere Formulierung.]</w:t>
      </w:r>
      <w:r>
        <w:rPr>
          <w:b/>
          <w:color w:val="DC143C"/>
          <w:highlight w:val="yellow"/>
        </w:rPr>
        <w:t xml:space="preserve"> ✨[REVIEW: Das Gebäude wurde metrisch modelliert (Geschosshöhen ca. 3,0–3,3 m; Kellergeschosshöhe leicht abweichend). - Kompaktere Formulierung, Klammersetzung für Nebeninformationen.]</w:t>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pPr>
        <w:rPr>
          <w:noProof/>
        </w:rPr>
      </w:pPr>
      <w:r>
        <w:t>Hier kurze beschreibeung eines problems:</w:t>
      </w:r>
      <w:r>
        <w:rPr>
          <w:b/>
          <w:color w:val="DC143C"/>
          <w:highlight w:val="yellow"/>
        </w:rPr>
        <w:t xml:space="preserve"> 📝[REVIEW: Problembeschreibung: - Korrektur grammatikalischer Fehler und Verbesserung des wissenschaftlichen Stils.]</w:t>
      </w:r>
    </w:p>
    <w:p w14:paraId="127BA3A3" w14:textId="77777777" w:rsidR="00DA3281" w:rsidRDefault="00DA3281" w:rsidP="00DA3281">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r>
        <w:rPr>
          <w:b/>
          <w:color w:val="DC143C"/>
          <w:highlight w:val="yellow"/>
        </w:rPr>
        <w:t xml:space="preserve"> ✨[REVIEW: Das Modell gliederte die Wände in 57 Holzrahmenbaugruppen. - Passivstil vermieden, präziser und wissenschaftlicher.]</w:t>
      </w:r>
    </w:p>
    <w:p w14:paraId="6473F146" w14:textId="77777777" w:rsidR="00DA3281" w:rsidRDefault="00DA3281" w:rsidP="00B572FF">
      <w:pPr>
        <w:rPr>
          <w:noProof/>
        </w:rPr>
      </w:pPr>
    </w:p>
    <w:p w14:paraId="633464B6" w14:textId="45C13A71" w:rsidR="00B26CA9" w:rsidRPr="00B26CA9" w:rsidRDefault="00B26CA9" w:rsidP="00B572FF">
      <w:pPr>
        <w:rPr>
          <w:noProof/>
        </w:rPr>
      </w:pPr>
      <w: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r>
        <w:rPr>
          <w:b/>
          <w:color w:val="DC143C"/>
          <w:highlight w:val="yellow"/>
        </w:rPr>
        <w:t xml:space="preserve"> 📝[REVIEW: jedoch war die Zuordnung fehlerhaft. - Grammatik korrigiert, wissenschaftlicher Ausdruck.]</w:t>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rsidRPr="008C5008">
        <w:t>Generalistische Modelle profitieren dagegen von enormen, breit gestreuten Trainingsdaten und zeigen mitunter emergentes Verhalten, das auch fachliche Fragestellungen adressieren kann.</w:t>
      </w:r>
      <w:r w:rsidR="008759A4">
        <w:rPr>
          <w:rStyle w:val="Funotenzeichen"/>
        </w:rPr>
        <w:footnoteReference w:id="42"/>
      </w:r>
      <w:r w:rsidRPr="008C5008">
        <w:t xml:space="preserve"> In der Praxis könnte daher ein hybrider Ansatz sinnvoll sein: Ein leistungsfähiges Basismodell (</w:t>
      </w:r>
      <w:proofErr w:type="spellStart"/>
      <w:r w:rsidRPr="008C5008">
        <w:t>Foundation</w:t>
      </w:r>
      <w:proofErr w:type="spellEnd"/>
      <w:r w:rsidRPr="008C5008">
        <w:t xml:space="preserve"> Model) wird durch Feinabstimmung oder Prompt Engineering an den jeweiligen Anwendungsbereich angepasst.</w:t>
      </w:r>
      <w:r w:rsidR="009269D1">
        <w:rPr>
          <w:rStyle w:val="Funotenzeichen"/>
        </w:rPr>
        <w:footnoteReference w:id="43"/>
      </w:r>
      <w:r w:rsidRPr="008C5008">
        <w:t xml:space="preserve"> Im Bauwesen wird derzeit erprobt, bestehende LLMs über Plugins oder spezialisierte Prompts mit BIM-Daten und Ontologien zu verknüpfen, anstatt eigene Modelle von Grund auf zu entwickeln</w:t>
      </w:r>
      <w:r w:rsidR="00FE55E8">
        <w:rPr>
          <w:rStyle w:val="Funotenzeichen"/>
        </w:rPr>
        <w:footnoteReference w:id="44"/>
      </w:r>
      <w:r w:rsidRPr="008C5008">
        <w:t xml:space="preserve"> – nicht zuletzt aus Gründen der Wirtschaftlichkeit. Die Entscheidung „Allgemeines Modell vs. Fachmodell“ hängt somit auch von Ressourcen und Datenverfügbarkeit ab.</w:t>
      </w:r>
      <w:r w:rsidR="003A688C">
        <w:rPr>
          <w:rStyle w:val="Funotenzeichen"/>
        </w:rPr>
        <w:footnoteReference w:id="45"/>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r>
        <w: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„reported using AI in 2024“ lag bei 78 % der Organisationen (gegenüber 55 % im Vorjahr) und eine wachsende Forschung bestätigt, dass der Einsatz von KI nicht nur die Produktivität steigert, sondern in vielen Fällen auch dazu beiträgt, Unterschiede zwischen geringer und hoch qualifizierten Arbeitskräften zu verringern. Auch das Bauwesen wird voraussichtlich davon profitieren, indem Planungsabläufe effizienter werden und komplexes Wissen leichter verfügbar ist.</w:t>
      </w:r>
      <w:r>
        <w:rPr>
          <w:b/>
          <w:color w:val="DC143C"/>
          <w:highlight w:val="yellow"/>
        </w:rPr>
        <w:t xml:space="preserve"> 🎓[REVIEW: Der Anteil der Organisationen, die 2024 KI einsetzten,  - Direkte Übernahme von englischsprachigen Daten vermieden, präzisere Formulierung.]</w:t>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